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864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ООО "ГОРИЗОНТ» </w:t>
      </w:r>
      <w:r>
        <w:rPr>
          <w:rFonts w:ascii="Times New Roman" w:eastAsia="Times New Roman" w:hAnsi="Times New Roman" w:cs="Times New Roman"/>
          <w:b/>
          <w:bCs/>
        </w:rPr>
        <w:t>Аксарина Андрея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Аксарин А.А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"ГОРИЗОНТ»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г.Ханты-Мансийск,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Гагарина, д.146А, кв.7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своевременно </w:t>
      </w:r>
      <w:r>
        <w:rPr>
          <w:rFonts w:ascii="Times New Roman" w:eastAsia="Times New Roman" w:hAnsi="Times New Roman" w:cs="Times New Roman"/>
        </w:rPr>
        <w:t>бухгалтерскую (финансову</w:t>
      </w:r>
      <w:r>
        <w:rPr>
          <w:rFonts w:ascii="Times New Roman" w:eastAsia="Times New Roman" w:hAnsi="Times New Roman" w:cs="Times New Roman"/>
        </w:rPr>
        <w:t>ю) отчетность за 12 месяцев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пп.5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02.04.2024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Аксарин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Аксарина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Аксарина А.А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Аксарина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Аксарина А.А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непредставления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нашли </w:t>
      </w:r>
      <w:r>
        <w:rPr>
          <w:rFonts w:ascii="Times New Roman" w:eastAsia="Times New Roman" w:hAnsi="Times New Roman" w:cs="Times New Roman"/>
        </w:rPr>
        <w:t>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Аксарина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обстоятельств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директора ООО "ГОРИЗОНТ» </w:t>
      </w:r>
      <w:r>
        <w:rPr>
          <w:rFonts w:ascii="Times New Roman" w:eastAsia="Times New Roman" w:hAnsi="Times New Roman" w:cs="Times New Roman"/>
          <w:b/>
          <w:bCs/>
        </w:rPr>
        <w:t>Аксарина Андрея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Ханты-Мансийска//УФК по ХМАО – Югре г.Ханты-Мансийск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0412365400285008642415132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426"/>
        <w:jc w:val="both"/>
      </w:pPr>
      <w:r>
        <w:rPr>
          <w:rStyle w:val="cat-UserDefinedgrp-24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7">
    <w:name w:val="cat-UserDefined grp-2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